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A31" w:rsidRDefault="00FE0A31" w:rsidP="00FE0A31">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ПРОЕКТ</w:t>
      </w:r>
    </w:p>
    <w:p w:rsidR="00FE0A31" w:rsidRDefault="00FE0A31" w:rsidP="00FE0A31">
      <w:pPr>
        <w:autoSpaceDE w:val="0"/>
        <w:autoSpaceDN w:val="0"/>
        <w:adjustRightInd w:val="0"/>
        <w:spacing w:after="0" w:line="240" w:lineRule="auto"/>
        <w:jc w:val="both"/>
        <w:outlineLvl w:val="0"/>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РАСПРЕДЕЛЕНИЯ ДОТАЦИЙ НА ВЫРАВНИВАНИЕ </w:t>
      </w:r>
      <w:proofErr w:type="gramStart"/>
      <w:r>
        <w:rPr>
          <w:rFonts w:ascii="Times New Roman" w:hAnsi="Times New Roman" w:cs="Times New Roman"/>
          <w:b/>
          <w:bCs/>
          <w:sz w:val="28"/>
          <w:szCs w:val="28"/>
        </w:rPr>
        <w:t>БЮДЖЕТНОЙ</w:t>
      </w:r>
      <w:proofErr w:type="gramEnd"/>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ОБЕСПЕЧЕННОСТИ МУНИЦИПАЛЬНЫХ РАЙОНОВ (МУНИЦИПАЛЬНЫХ</w:t>
      </w:r>
      <w:proofErr w:type="gramEnd"/>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ОКРУГОВ, ГОРОДСКИХ ОКРУГОВ) И ПОСЕЛЕНИЙ, МЕТОДИКА</w:t>
      </w:r>
      <w:proofErr w:type="gramEnd"/>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РАСПРЕДЕЛЕНИЯ УКАЗАННЫХ ДОТАЦИЙ И ПОРЯДОК ОПРЕДЕЛЕНИЯ</w:t>
      </w: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КРИТЕРИЯ ВЫРАВНИВАНИЯ РАСЧЕТНОЙ БЮДЖЕТНОЙ ОБЕСПЕЧЕННОСТИ</w:t>
      </w: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МУНИЦИПАЛЬНЫХ РАЙОНОВ (МУНИЦИПАЛЬНЫХ ОКРУГОВ,</w:t>
      </w:r>
      <w:proofErr w:type="gramEnd"/>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ГОРОДСКИХ ОКРУГОВ)</w:t>
      </w:r>
      <w:proofErr w:type="gramEnd"/>
    </w:p>
    <w:p w:rsidR="00FE0A31" w:rsidRDefault="00FE0A31" w:rsidP="00FE0A31">
      <w:pPr>
        <w:autoSpaceDE w:val="0"/>
        <w:autoSpaceDN w:val="0"/>
        <w:adjustRightInd w:val="0"/>
        <w:spacing w:after="0" w:line="240" w:lineRule="auto"/>
        <w:rPr>
          <w:rFonts w:ascii="Times New Roman" w:hAnsi="Times New Roman" w:cs="Times New Roman"/>
          <w:sz w:val="24"/>
          <w:szCs w:val="24"/>
        </w:rPr>
      </w:pP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Дотации на выравнивание бюджетной обеспеченности муниципальных районов (муниципальных округов, городских округов) (далее - ФФП) распределяются между муниципальными районами (муниципальными округами, городскими округами) области на основе сопоставления уровня расчетной бюджетной обеспеченности муниципальных районов (муниципальных округов, городских округов) области и аналогичного показателя в среднем по муниципальным районам (муниципальным округам, городским округам) области.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Дотации на выравнивание бюджетной обеспеченности поселений из бюджета муниципального района (далее - ФФП) распределяются между поселениями, входящими в состав муниципального района, на основе сопоставления уровня расчетной бюджетной обеспеченности поселений и аналогичного показателя в среднем по всем поселениям муниципального района.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Средства ФФП распределяются комбинированным способом. </w:t>
      </w:r>
      <w:proofErr w:type="gramStart"/>
      <w:r>
        <w:rPr>
          <w:rFonts w:ascii="Times New Roman" w:hAnsi="Times New Roman" w:cs="Times New Roman"/>
          <w:sz w:val="28"/>
          <w:szCs w:val="28"/>
        </w:rPr>
        <w:t>Первая часть ФФП распределяется с использованием метода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roofErr w:type="gramEnd"/>
      <w:r>
        <w:rPr>
          <w:rFonts w:ascii="Times New Roman" w:hAnsi="Times New Roman" w:cs="Times New Roman"/>
          <w:sz w:val="28"/>
          <w:szCs w:val="28"/>
        </w:rPr>
        <w:t xml:space="preserve"> вторая часть - с использованием метода пропорционального выравнивания бюджетной обеспеченности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sz w:val="28"/>
          <w:szCs w:val="28"/>
        </w:rPr>
        <w:t>ФФП=</w:t>
      </w:r>
      <w:r>
        <w:rPr>
          <w:rFonts w:ascii="Times New Roman" w:hAnsi="Times New Roman"/>
          <w:sz w:val="28"/>
          <w:szCs w:val="28"/>
          <w:lang w:val="en-US"/>
        </w:rPr>
        <w:t>D</w:t>
      </w:r>
      <w:r>
        <w:rPr>
          <w:rFonts w:ascii="Times New Roman" w:hAnsi="Times New Roman"/>
          <w:sz w:val="28"/>
          <w:szCs w:val="28"/>
          <w:vertAlign w:val="superscript"/>
        </w:rPr>
        <w:t>1</w:t>
      </w:r>
      <w:r>
        <w:rPr>
          <w:rFonts w:ascii="Times New Roman" w:hAnsi="Times New Roman"/>
          <w:sz w:val="28"/>
          <w:szCs w:val="28"/>
        </w:rPr>
        <w:t>+</w:t>
      </w:r>
      <w:r>
        <w:rPr>
          <w:rFonts w:ascii="Times New Roman" w:hAnsi="Times New Roman"/>
          <w:sz w:val="28"/>
          <w:szCs w:val="28"/>
          <w:lang w:val="en-US"/>
        </w:rPr>
        <w:t>D</w:t>
      </w:r>
      <w:r>
        <w:rPr>
          <w:rFonts w:ascii="Times New Roman" w:hAnsi="Times New Roman"/>
          <w:sz w:val="28"/>
          <w:szCs w:val="28"/>
          <w:vertAlign w:val="superscript"/>
        </w:rPr>
        <w:t>2</w:t>
      </w:r>
      <w:r>
        <w:rPr>
          <w:rFonts w:ascii="Times New Roman" w:hAnsi="Times New Roman"/>
          <w:sz w:val="28"/>
          <w:szCs w:val="28"/>
        </w:rPr>
        <w:t>+</w:t>
      </w:r>
      <w:r>
        <w:rPr>
          <w:rFonts w:ascii="Times New Roman" w:hAnsi="Times New Roman"/>
          <w:sz w:val="28"/>
          <w:szCs w:val="28"/>
          <w:lang w:val="en-US"/>
        </w:rPr>
        <w:t>D</w:t>
      </w:r>
      <w:r>
        <w:rPr>
          <w:rFonts w:ascii="Times New Roman" w:hAnsi="Times New Roman"/>
          <w:sz w:val="28"/>
          <w:szCs w:val="28"/>
          <w:vertAlign w:val="superscript"/>
        </w:rPr>
        <w:t>3</w:t>
      </w: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ФФП - общий объем дотаций на выравнивание бюджетной обеспеченности муниципальных районов (муниципальных округов, городских округов) (дотаций на выравнивание бюджетной обеспеченности поселений из бюджета муниципального района);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D</w:t>
      </w:r>
      <w:r>
        <w:rPr>
          <w:rFonts w:ascii="Times New Roman" w:hAnsi="Times New Roman" w:cs="Times New Roman"/>
          <w:sz w:val="28"/>
          <w:szCs w:val="28"/>
          <w:vertAlign w:val="superscript"/>
        </w:rPr>
        <w:t>1</w:t>
      </w:r>
      <w:r>
        <w:rPr>
          <w:rFonts w:ascii="Times New Roman" w:hAnsi="Times New Roman" w:cs="Times New Roman"/>
          <w:sz w:val="28"/>
          <w:szCs w:val="28"/>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roofErr w:type="gramEnd"/>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D</w:t>
      </w:r>
      <w:r>
        <w:rPr>
          <w:rFonts w:ascii="Times New Roman" w:hAnsi="Times New Roman" w:cs="Times New Roman"/>
          <w:sz w:val="28"/>
          <w:szCs w:val="28"/>
          <w:vertAlign w:val="superscript"/>
        </w:rPr>
        <w:t>2</w:t>
      </w:r>
      <w:r>
        <w:rPr>
          <w:rFonts w:ascii="Times New Roman" w:hAnsi="Times New Roman" w:cs="Times New Roman"/>
          <w:sz w:val="28"/>
          <w:szCs w:val="28"/>
        </w:rPr>
        <w:t xml:space="preserve"> - объем части ФФП, распределение которой осуществляется методом пропорционального выравнивания.</w:t>
      </w:r>
    </w:p>
    <w:p w:rsidR="00FE0A31" w:rsidRDefault="00FE0A31" w:rsidP="00FE0A31">
      <w:pPr>
        <w:pStyle w:val="a3"/>
        <w:tabs>
          <w:tab w:val="left" w:pos="1134"/>
        </w:tabs>
        <w:spacing w:after="0" w:line="320" w:lineRule="exact"/>
        <w:ind w:left="0" w:firstLine="709"/>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vertAlign w:val="superscript"/>
        </w:rPr>
        <w:t>3</w:t>
      </w:r>
      <w:r>
        <w:rPr>
          <w:rFonts w:ascii="Times New Roman" w:hAnsi="Times New Roman"/>
          <w:sz w:val="28"/>
          <w:szCs w:val="28"/>
        </w:rPr>
        <w:t xml:space="preserve"> – объем части ФФП, необходимый для доведения размеров дотаций на очередной финансовый год и первый год планового периода до размеров дотаций на выравнивание бюджетной обеспеченности муниципальных районов (муниципальных округов, городских округов), утвержденных соответственно на первый год планового периода и второй год планового периода в законе области об областном бюджете на текущий финансовый год и плановый период, с учетом замены дотации (части дотации) дополнительными нормативами отчислений в бюджеты муниципальных районов (муниципальных округов, городских округов) от налога на доходы физических лиц в соответствии с частью 4 статьи 9 настоящего Закона.;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Размер D</w:t>
      </w:r>
      <w:r>
        <w:rPr>
          <w:rFonts w:ascii="Times New Roman" w:hAnsi="Times New Roman" w:cs="Times New Roman"/>
          <w:sz w:val="28"/>
          <w:szCs w:val="28"/>
          <w:vertAlign w:val="superscript"/>
        </w:rPr>
        <w:t>1</w:t>
      </w:r>
      <w:r>
        <w:rPr>
          <w:rFonts w:ascii="Times New Roman" w:hAnsi="Times New Roman" w:cs="Times New Roman"/>
          <w:sz w:val="28"/>
          <w:szCs w:val="28"/>
        </w:rPr>
        <w:t xml:space="preserve"> и D</w:t>
      </w:r>
      <w:r>
        <w:rPr>
          <w:rFonts w:ascii="Times New Roman" w:hAnsi="Times New Roman" w:cs="Times New Roman"/>
          <w:sz w:val="28"/>
          <w:szCs w:val="28"/>
          <w:vertAlign w:val="superscript"/>
        </w:rPr>
        <w:t>2</w:t>
      </w:r>
      <w:r>
        <w:rPr>
          <w:rFonts w:ascii="Times New Roman" w:hAnsi="Times New Roman" w:cs="Times New Roman"/>
          <w:sz w:val="28"/>
          <w:szCs w:val="28"/>
        </w:rPr>
        <w:t xml:space="preserve"> определяется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Определение объема средств, необходимого для достижения i-м муниципальным образованием уровня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бюджетной обеспеченности, осуществляется по формуле</w:t>
      </w:r>
      <w:proofErr w:type="gramEnd"/>
      <w:r>
        <w:rPr>
          <w:rFonts w:ascii="Times New Roman" w:hAnsi="Times New Roman" w:cs="Times New Roman"/>
          <w:sz w:val="28"/>
          <w:szCs w:val="28"/>
        </w:rPr>
        <w:t>:</w:t>
      </w: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42"/>
          <w:sz w:val="28"/>
          <w:szCs w:val="28"/>
          <w:lang w:eastAsia="ru-RU"/>
        </w:rPr>
        <w:lastRenderedPageBreak/>
        <w:drawing>
          <wp:inline distT="0" distB="0" distL="0" distR="0">
            <wp:extent cx="4497070" cy="1992630"/>
            <wp:effectExtent l="0" t="0" r="0" b="762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7070" cy="1992630"/>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280035" cy="320675"/>
            <wp:effectExtent l="0" t="0" r="5715" b="317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0035" cy="320675"/>
                    </a:xfrm>
                    <a:prstGeom prst="rect">
                      <a:avLst/>
                    </a:prstGeom>
                    <a:noFill/>
                    <a:ln>
                      <a:noFill/>
                    </a:ln>
                  </pic:spPr>
                </pic:pic>
              </a:graphicData>
            </a:graphic>
          </wp:inline>
        </w:drawing>
      </w:r>
      <w:r>
        <w:rPr>
          <w:rFonts w:ascii="Times New Roman" w:hAnsi="Times New Roman" w:cs="Times New Roman"/>
          <w:sz w:val="28"/>
          <w:szCs w:val="28"/>
        </w:rPr>
        <w:t xml:space="preserve"> </w:t>
      </w:r>
      <w:proofErr w:type="gramStart"/>
      <w:r>
        <w:rPr>
          <w:rFonts w:ascii="Times New Roman" w:hAnsi="Times New Roman" w:cs="Times New Roman"/>
          <w:sz w:val="28"/>
          <w:szCs w:val="28"/>
        </w:rPr>
        <w:t>- объем средств, необходимый для достижения i-м муниципальным образованием уровня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бюджетной обеспеченности;</w:t>
      </w:r>
      <w:proofErr w:type="gramEnd"/>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D</w:t>
      </w:r>
      <w:r>
        <w:rPr>
          <w:rFonts w:ascii="Times New Roman" w:hAnsi="Times New Roman" w:cs="Times New Roman"/>
          <w:sz w:val="28"/>
          <w:szCs w:val="28"/>
          <w:vertAlign w:val="superscript"/>
        </w:rPr>
        <w:t>1</w:t>
      </w:r>
      <w:r>
        <w:rPr>
          <w:rFonts w:ascii="Times New Roman" w:hAnsi="Times New Roman" w:cs="Times New Roman"/>
          <w:sz w:val="28"/>
          <w:szCs w:val="28"/>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roofErr w:type="gramEnd"/>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БО</w:t>
      </w:r>
      <w:r>
        <w:rPr>
          <w:rFonts w:ascii="Times New Roman" w:hAnsi="Times New Roman" w:cs="Times New Roman"/>
          <w:sz w:val="28"/>
          <w:szCs w:val="28"/>
          <w:vertAlign w:val="superscript"/>
        </w:rPr>
        <w:t>ср</w:t>
      </w:r>
      <w:proofErr w:type="spellEnd"/>
      <w:r>
        <w:rPr>
          <w:rFonts w:ascii="Times New Roman" w:hAnsi="Times New Roman" w:cs="Times New Roman"/>
          <w:sz w:val="28"/>
          <w:szCs w:val="28"/>
        </w:rPr>
        <w:t xml:space="preserve"> - средняя бюджетная обеспеченность, определяемая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численность населения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k1 - критерий выравнивания расчетной бюджетной обеспеченности муниципальных районов (муниципальных округов, 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lastRenderedPageBreak/>
        <w:drawing>
          <wp:inline distT="0" distB="0" distL="0" distR="0">
            <wp:extent cx="743585" cy="320675"/>
            <wp:effectExtent l="0" t="0" r="0" b="317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3585" cy="320675"/>
                    </a:xfrm>
                    <a:prstGeom prst="rect">
                      <a:avLst/>
                    </a:prstGeom>
                    <a:noFill/>
                    <a:ln>
                      <a:noFill/>
                    </a:ln>
                  </pic:spPr>
                </pic:pic>
              </a:graphicData>
            </a:graphic>
          </wp:inline>
        </w:drawing>
      </w:r>
      <w:r>
        <w:rPr>
          <w:rFonts w:ascii="Times New Roman" w:hAnsi="Times New Roman" w:cs="Times New Roman"/>
          <w:sz w:val="28"/>
          <w:szCs w:val="28"/>
        </w:rPr>
        <w:t xml:space="preserve"> - уровень расчетной бюджетной обеспеченности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00710" cy="320675"/>
            <wp:effectExtent l="0" t="0" r="8890" b="317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нормированный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образований.</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Критерий выравнивания расчетной бюджетной обеспеченности муниципальных районов (муниципальных округов, 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 рассчитывается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78"/>
          <w:sz w:val="28"/>
          <w:szCs w:val="28"/>
          <w:lang w:eastAsia="ru-RU"/>
        </w:rPr>
        <w:drawing>
          <wp:inline distT="0" distB="0" distL="0" distR="0">
            <wp:extent cx="3841750" cy="1173480"/>
            <wp:effectExtent l="0" t="0" r="6350" b="762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1750" cy="1173480"/>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k1 - критерий выравнивания расчетной бюджетной обеспеченности муниципальных районов (муниципальных округов, 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D</w:t>
      </w:r>
      <w:r>
        <w:rPr>
          <w:rFonts w:ascii="Times New Roman" w:hAnsi="Times New Roman" w:cs="Times New Roman"/>
          <w:sz w:val="28"/>
          <w:szCs w:val="28"/>
          <w:vertAlign w:val="superscript"/>
        </w:rPr>
        <w:t>1</w:t>
      </w:r>
      <w:r>
        <w:rPr>
          <w:rFonts w:ascii="Times New Roman" w:hAnsi="Times New Roman" w:cs="Times New Roman"/>
          <w:sz w:val="28"/>
          <w:szCs w:val="28"/>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БО</w:t>
      </w:r>
      <w:r>
        <w:rPr>
          <w:rFonts w:ascii="Times New Roman" w:hAnsi="Times New Roman" w:cs="Times New Roman"/>
          <w:sz w:val="28"/>
          <w:szCs w:val="28"/>
          <w:vertAlign w:val="superscript"/>
        </w:rPr>
        <w:t>ср</w:t>
      </w:r>
      <w:proofErr w:type="spellEnd"/>
      <w:r>
        <w:rPr>
          <w:rFonts w:ascii="Times New Roman" w:hAnsi="Times New Roman" w:cs="Times New Roman"/>
          <w:sz w:val="28"/>
          <w:szCs w:val="28"/>
        </w:rPr>
        <w:t xml:space="preserve"> - средняя бюджетная обеспеченность, определяемая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lastRenderedPageBreak/>
        <w:drawing>
          <wp:inline distT="0" distB="0" distL="0" distR="0">
            <wp:extent cx="600710" cy="320675"/>
            <wp:effectExtent l="0" t="0" r="8890" b="317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нормированный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численность населения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743585" cy="320675"/>
            <wp:effectExtent l="0" t="0" r="0" b="317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3585" cy="320675"/>
                    </a:xfrm>
                    <a:prstGeom prst="rect">
                      <a:avLst/>
                    </a:prstGeom>
                    <a:noFill/>
                    <a:ln>
                      <a:noFill/>
                    </a:ln>
                  </pic:spPr>
                </pic:pic>
              </a:graphicData>
            </a:graphic>
          </wp:inline>
        </w:drawing>
      </w:r>
      <w:r>
        <w:rPr>
          <w:rFonts w:ascii="Times New Roman" w:hAnsi="Times New Roman" w:cs="Times New Roman"/>
          <w:sz w:val="28"/>
          <w:szCs w:val="28"/>
        </w:rPr>
        <w:t xml:space="preserve"> - уровень расчетной бюджетной обеспеченности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образований.</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Распределение части ФФП, осуществляемое методом пропорционального выравнивания, осуществляется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09"/>
          <w:sz w:val="28"/>
          <w:szCs w:val="28"/>
          <w:lang w:eastAsia="ru-RU"/>
        </w:rPr>
        <w:drawing>
          <wp:inline distT="0" distB="0" distL="0" distR="0">
            <wp:extent cx="3446145" cy="1562735"/>
            <wp:effectExtent l="0" t="0" r="190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6145" cy="1562735"/>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307340" cy="320675"/>
            <wp:effectExtent l="0" t="0" r="0" b="317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r>
        <w:rPr>
          <w:rFonts w:ascii="Times New Roman" w:hAnsi="Times New Roman" w:cs="Times New Roman"/>
          <w:sz w:val="28"/>
          <w:szCs w:val="28"/>
        </w:rPr>
        <w:t xml:space="preserve"> - объем части дотаций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 распределение которой осуществляется методом пропорционального выравнивания;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D</w:t>
      </w:r>
      <w:r>
        <w:rPr>
          <w:rFonts w:ascii="Times New Roman" w:hAnsi="Times New Roman" w:cs="Times New Roman"/>
          <w:sz w:val="28"/>
          <w:szCs w:val="28"/>
          <w:vertAlign w:val="superscript"/>
        </w:rPr>
        <w:t>2</w:t>
      </w:r>
      <w:r>
        <w:rPr>
          <w:rFonts w:ascii="Times New Roman" w:hAnsi="Times New Roman" w:cs="Times New Roman"/>
          <w:sz w:val="28"/>
          <w:szCs w:val="28"/>
        </w:rPr>
        <w:t xml:space="preserve"> - объем части ФФП, распределение которой осуществляется методом пропорционального выравнивания;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743585" cy="320675"/>
            <wp:effectExtent l="0" t="0" r="0" b="317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585" cy="320675"/>
                    </a:xfrm>
                    <a:prstGeom prst="rect">
                      <a:avLst/>
                    </a:prstGeom>
                    <a:noFill/>
                    <a:ln>
                      <a:noFill/>
                    </a:ln>
                  </pic:spPr>
                </pic:pic>
              </a:graphicData>
            </a:graphic>
          </wp:inline>
        </w:drawing>
      </w:r>
      <w:r>
        <w:rPr>
          <w:rFonts w:ascii="Times New Roman" w:hAnsi="Times New Roman" w:cs="Times New Roman"/>
          <w:sz w:val="28"/>
          <w:szCs w:val="28"/>
        </w:rPr>
        <w:t xml:space="preserve"> - расчетный уровень бюджетной обеспеченности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НП</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налоговый потенциал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k - уровень расчетной бюджетной обеспеченности, определяемый Правительством Кировской области (органом местного самоуправления муниципального района) при подготовке проекта закона области об </w:t>
      </w:r>
      <w:r>
        <w:rPr>
          <w:rFonts w:ascii="Times New Roman" w:hAnsi="Times New Roman" w:cs="Times New Roman"/>
          <w:sz w:val="28"/>
          <w:szCs w:val="28"/>
        </w:rPr>
        <w:lastRenderedPageBreak/>
        <w:t>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образований.</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Объем дотации, получаемой i-м муниципальным образованием, складывается из двух составляющих, распределяемых комбинированным способом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1282700" cy="320675"/>
            <wp:effectExtent l="0" t="0" r="0" b="317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2700" cy="320675"/>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D</w:t>
      </w:r>
      <w:r>
        <w:rPr>
          <w:rFonts w:ascii="Times New Roman" w:hAnsi="Times New Roman" w:cs="Times New Roman"/>
          <w:sz w:val="28"/>
          <w:szCs w:val="28"/>
          <w:vertAlign w:val="subscript"/>
        </w:rPr>
        <w:t>i</w:t>
      </w:r>
      <w:proofErr w:type="spellEnd"/>
      <w:r>
        <w:rPr>
          <w:rFonts w:ascii="Times New Roman" w:hAnsi="Times New Roman" w:cs="Times New Roman"/>
          <w:sz w:val="28"/>
          <w:szCs w:val="28"/>
        </w:rPr>
        <w:t xml:space="preserve"> - общий объем дотаций из ФФП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280035" cy="320675"/>
            <wp:effectExtent l="0" t="0" r="5715" b="317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320675"/>
                    </a:xfrm>
                    <a:prstGeom prst="rect">
                      <a:avLst/>
                    </a:prstGeom>
                    <a:noFill/>
                    <a:ln>
                      <a:noFill/>
                    </a:ln>
                  </pic:spPr>
                </pic:pic>
              </a:graphicData>
            </a:graphic>
          </wp:inline>
        </w:drawing>
      </w:r>
      <w:r>
        <w:rPr>
          <w:rFonts w:ascii="Times New Roman" w:hAnsi="Times New Roman" w:cs="Times New Roman"/>
          <w:sz w:val="28"/>
          <w:szCs w:val="28"/>
        </w:rPr>
        <w:t xml:space="preserve"> </w:t>
      </w:r>
      <w:proofErr w:type="gramStart"/>
      <w:r>
        <w:rPr>
          <w:rFonts w:ascii="Times New Roman" w:hAnsi="Times New Roman" w:cs="Times New Roman"/>
          <w:sz w:val="28"/>
          <w:szCs w:val="28"/>
        </w:rPr>
        <w:t>- объем части дотаций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 распределение которого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w:t>
      </w:r>
      <w:proofErr w:type="gramEnd"/>
      <w:r>
        <w:rPr>
          <w:rFonts w:ascii="Times New Roman" w:hAnsi="Times New Roman" w:cs="Times New Roman"/>
          <w:sz w:val="28"/>
          <w:szCs w:val="28"/>
        </w:rPr>
        <w:t xml:space="preserve"> бюджетной обеспеченности;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307340" cy="320675"/>
            <wp:effectExtent l="0" t="0" r="0" b="317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r>
        <w:rPr>
          <w:rFonts w:ascii="Times New Roman" w:hAnsi="Times New Roman" w:cs="Times New Roman"/>
          <w:sz w:val="28"/>
          <w:szCs w:val="28"/>
        </w:rPr>
        <w:t xml:space="preserve"> - объем части дотаций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 распределение которого осуществляется методом пропорционального выравнивания.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Уровень бюджетной обеспеченности муниципального образования после выравнивания определяется по следующей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78"/>
          <w:sz w:val="28"/>
          <w:szCs w:val="28"/>
          <w:lang w:eastAsia="ru-RU"/>
        </w:rPr>
        <w:drawing>
          <wp:inline distT="0" distB="0" distL="0" distR="0">
            <wp:extent cx="3486785" cy="1173480"/>
            <wp:effectExtent l="0" t="0" r="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6785" cy="1173480"/>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41350" cy="320675"/>
            <wp:effectExtent l="0" t="0" r="6350" b="31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0" cy="320675"/>
                    </a:xfrm>
                    <a:prstGeom prst="rect">
                      <a:avLst/>
                    </a:prstGeom>
                    <a:noFill/>
                    <a:ln>
                      <a:noFill/>
                    </a:ln>
                  </pic:spPr>
                </pic:pic>
              </a:graphicData>
            </a:graphic>
          </wp:inline>
        </w:drawing>
      </w:r>
      <w:r>
        <w:rPr>
          <w:rFonts w:ascii="Times New Roman" w:hAnsi="Times New Roman" w:cs="Times New Roman"/>
          <w:sz w:val="28"/>
          <w:szCs w:val="28"/>
        </w:rPr>
        <w:t xml:space="preserve"> - уровень бюджетной обеспеченности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после выравнивания;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D</w:t>
      </w:r>
      <w:r>
        <w:rPr>
          <w:rFonts w:ascii="Times New Roman" w:hAnsi="Times New Roman" w:cs="Times New Roman"/>
          <w:sz w:val="28"/>
          <w:szCs w:val="28"/>
          <w:vertAlign w:val="subscript"/>
        </w:rPr>
        <w:t>i</w:t>
      </w:r>
      <w:proofErr w:type="spellEnd"/>
      <w:r>
        <w:rPr>
          <w:rFonts w:ascii="Times New Roman" w:hAnsi="Times New Roman" w:cs="Times New Roman"/>
          <w:sz w:val="28"/>
          <w:szCs w:val="28"/>
        </w:rPr>
        <w:t xml:space="preserve"> - общий объем дотаций из ФФП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НП</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налоговый потенциал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00710" cy="320675"/>
            <wp:effectExtent l="0" t="0" r="8890" b="317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нормированный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определяемый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численность населения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образований.</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FE0A31" w:rsidRDefault="00FE0A31" w:rsidP="00FE0A3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Законом</w:t>
      </w:r>
    </w:p>
    <w:p w:rsidR="00FE0A31" w:rsidRDefault="00FE0A31" w:rsidP="00FE0A3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Кировской области</w:t>
      </w:r>
    </w:p>
    <w:p w:rsidR="00FE0A31" w:rsidRDefault="00FE0A31" w:rsidP="00FE0A3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 межбюджетных отношениях</w:t>
      </w:r>
    </w:p>
    <w:p w:rsidR="00FE0A31" w:rsidRDefault="00FE0A31" w:rsidP="00FE0A3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Кировской области"</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ОПРЕДЕЛЕНИЯ УРОВНЯ РАСЧЕТНОЙ БЮДЖЕТНОЙ ОБЕСПЕЧЕННОСТИ</w:t>
      </w:r>
    </w:p>
    <w:p w:rsidR="00FE0A31" w:rsidRDefault="00FE0A31" w:rsidP="00FE0A31">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w:t>
      </w:r>
    </w:p>
    <w:p w:rsidR="00FE0A31" w:rsidRDefault="00FE0A31" w:rsidP="00FE0A31">
      <w:pPr>
        <w:autoSpaceDE w:val="0"/>
        <w:autoSpaceDN w:val="0"/>
        <w:adjustRightInd w:val="0"/>
        <w:spacing w:after="0" w:line="240" w:lineRule="auto"/>
        <w:rPr>
          <w:rFonts w:ascii="Times New Roman" w:hAnsi="Times New Roman" w:cs="Times New Roman"/>
          <w:sz w:val="24"/>
          <w:szCs w:val="24"/>
        </w:rPr>
      </w:pP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Расчетная бюджетная обеспеченность муниципального образования определяется как величина его налогового потенциала в расчете на одного жителя, с учетом объективных факторов и условий, влияющих на стоимость предоставления муниципальных услуг, и рассчитывается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28"/>
          <w:sz w:val="28"/>
          <w:szCs w:val="28"/>
          <w:lang w:eastAsia="ru-RU"/>
        </w:rPr>
        <w:drawing>
          <wp:inline distT="0" distB="0" distL="0" distR="0">
            <wp:extent cx="2169795" cy="1815465"/>
            <wp:effectExtent l="0" t="0" r="190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69795" cy="1815465"/>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00710" cy="320675"/>
            <wp:effectExtent l="0" t="0" r="8890" b="317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расчетная бюджетная обеспеченность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БО</w:t>
      </w:r>
      <w:r>
        <w:rPr>
          <w:rFonts w:ascii="Times New Roman" w:hAnsi="Times New Roman" w:cs="Times New Roman"/>
          <w:sz w:val="28"/>
          <w:szCs w:val="28"/>
          <w:vertAlign w:val="superscript"/>
        </w:rPr>
        <w:t>ср</w:t>
      </w:r>
      <w:proofErr w:type="spellEnd"/>
      <w:r>
        <w:rPr>
          <w:rFonts w:ascii="Times New Roman" w:hAnsi="Times New Roman" w:cs="Times New Roman"/>
          <w:sz w:val="28"/>
          <w:szCs w:val="28"/>
        </w:rPr>
        <w:t xml:space="preserve"> - средняя бюджетная обеспеченность;</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00710" cy="320675"/>
            <wp:effectExtent l="0" t="0" r="8890" b="317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нормированный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рассчитываемый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НП</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налоговый потенциал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рассчитываемый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численность населения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образований.</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Уровень расчетной бюджетной обеспеченности муниципального образования определяется соотношением его налогового потенциала к аналогичному показателю, рассчитанному по всем муниципальным образованиям, в расчете на одного жителя, с учетом объективных факторов и условий, влияющих на стоимость предоставления муниципальных услуг, и рассчитывается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78"/>
          <w:sz w:val="28"/>
          <w:szCs w:val="28"/>
          <w:lang w:eastAsia="ru-RU"/>
        </w:rPr>
        <w:drawing>
          <wp:inline distT="0" distB="0" distL="0" distR="0">
            <wp:extent cx="3023235" cy="11734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23235" cy="1173480"/>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743585" cy="320675"/>
            <wp:effectExtent l="0" t="0" r="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43585" cy="320675"/>
                    </a:xfrm>
                    <a:prstGeom prst="rect">
                      <a:avLst/>
                    </a:prstGeom>
                    <a:noFill/>
                    <a:ln>
                      <a:noFill/>
                    </a:ln>
                  </pic:spPr>
                </pic:pic>
              </a:graphicData>
            </a:graphic>
          </wp:inline>
        </w:drawing>
      </w:r>
      <w:r>
        <w:rPr>
          <w:rFonts w:ascii="Times New Roman" w:hAnsi="Times New Roman" w:cs="Times New Roman"/>
          <w:sz w:val="28"/>
          <w:szCs w:val="28"/>
        </w:rPr>
        <w:t xml:space="preserve"> - уровень расчетной бюджетной обеспеченности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00710" cy="320675"/>
            <wp:effectExtent l="0" t="0" r="8890" b="317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нормированный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рассчитываемый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НП</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налоговый потенциал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рассчитываемый в соответствии с порядком, утвержденным настоящим Законом;</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численность населения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образований.</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Порядок расчета налогового потенциала</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Налоговый потенциал муниципальных образований определяется по следующим налогам, которые могут быть получены бюджетами муниципальных образований исходя из показателей, характеризующих налоговый потенциал, прогноза поступлений налогов в консолидированный бюджет области, а также нормативов отчислений налогов в бюджеты муниципальных образований:</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66"/>
        <w:gridCol w:w="4252"/>
        <w:gridCol w:w="2251"/>
      </w:tblGrid>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Налог</w:t>
            </w:r>
          </w:p>
        </w:tc>
        <w:tc>
          <w:tcPr>
            <w:tcW w:w="4252"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Показатель, характеризующий налоговый потенциал</w:t>
            </w:r>
          </w:p>
        </w:tc>
        <w:tc>
          <w:tcPr>
            <w:tcW w:w="2251"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Источник информации</w:t>
            </w:r>
          </w:p>
        </w:tc>
      </w:tr>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tc>
        <w:tc>
          <w:tcPr>
            <w:tcW w:w="4252"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Сумма налога на доходы физических лиц, подлежащего зачислению в консолидированный бюджет области по территории соответствующего муниципального образования</w:t>
            </w:r>
          </w:p>
        </w:tc>
        <w:tc>
          <w:tcPr>
            <w:tcW w:w="2251" w:type="dxa"/>
            <w:tcBorders>
              <w:top w:val="single" w:sz="4" w:space="0" w:color="auto"/>
              <w:left w:val="single" w:sz="4" w:space="0" w:color="auto"/>
              <w:bottom w:val="single" w:sz="4" w:space="0" w:color="auto"/>
              <w:right w:val="single" w:sz="4" w:space="0" w:color="auto"/>
            </w:tcBorders>
            <w:vAlign w:val="center"/>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Федеральная налоговая служба (форма отчетности N 5-НДФЛ)</w:t>
            </w:r>
          </w:p>
        </w:tc>
      </w:tr>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Земельный налог</w:t>
            </w:r>
          </w:p>
        </w:tc>
        <w:tc>
          <w:tcPr>
            <w:tcW w:w="4252"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Сумма земельного налога, увеличенного на сумму льгот, установленных нормативными правовыми актами представительных органов местного самоуправления, подлежащего зачислению в консолидированный бюджет области по территории соответствующего муниципального образования</w:t>
            </w:r>
          </w:p>
        </w:tc>
        <w:tc>
          <w:tcPr>
            <w:tcW w:w="2251"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Федеральная налоговая служба (форма отчетности N 5-МН)</w:t>
            </w:r>
          </w:p>
        </w:tc>
      </w:tr>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Налог на имущество физических лиц</w:t>
            </w:r>
          </w:p>
        </w:tc>
        <w:tc>
          <w:tcPr>
            <w:tcW w:w="4252"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Сумма налога на имущество физических лиц, увеличенного на сумму льгот, установленных нормативными правовыми актами представительных органов местного самоуправления, подлежащего зачислению в консолидированный бюджет области по территории соответствующего муниципального образования</w:t>
            </w:r>
          </w:p>
        </w:tc>
        <w:tc>
          <w:tcPr>
            <w:tcW w:w="2251"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Федеральная налоговая служба (форма отчетности N 5-МН)</w:t>
            </w:r>
          </w:p>
        </w:tc>
      </w:tr>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Единый налог на вмененный доход </w:t>
            </w:r>
            <w:r>
              <w:rPr>
                <w:rFonts w:ascii="Times New Roman" w:hAnsi="Times New Roman" w:cs="Times New Roman"/>
                <w:sz w:val="28"/>
                <w:szCs w:val="28"/>
              </w:rPr>
              <w:lastRenderedPageBreak/>
              <w:t>для отдельных видов деятельности</w:t>
            </w:r>
          </w:p>
        </w:tc>
        <w:tc>
          <w:tcPr>
            <w:tcW w:w="4252"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Сумма единого налога на вмененный доход для отдельных </w:t>
            </w:r>
            <w:r>
              <w:rPr>
                <w:rFonts w:ascii="Times New Roman" w:hAnsi="Times New Roman" w:cs="Times New Roman"/>
                <w:sz w:val="28"/>
                <w:szCs w:val="28"/>
              </w:rPr>
              <w:lastRenderedPageBreak/>
              <w:t>видов деятельности, подлежащего зачислению в консолидированный бюджет области по территории соответствующего муниципального образования</w:t>
            </w:r>
          </w:p>
        </w:tc>
        <w:tc>
          <w:tcPr>
            <w:tcW w:w="2251"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Федеральная налоговая </w:t>
            </w:r>
            <w:r>
              <w:rPr>
                <w:rFonts w:ascii="Times New Roman" w:hAnsi="Times New Roman" w:cs="Times New Roman"/>
                <w:sz w:val="28"/>
                <w:szCs w:val="28"/>
              </w:rPr>
              <w:lastRenderedPageBreak/>
              <w:t>служба (форма отчетности N 5-ЕНВД)</w:t>
            </w:r>
          </w:p>
        </w:tc>
      </w:tr>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Налог, взимаемый в связи с применением упрощенной системы налогообложения</w:t>
            </w:r>
          </w:p>
        </w:tc>
        <w:tc>
          <w:tcPr>
            <w:tcW w:w="4252"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Сумма налога, взимаемого в связи с применением упрощенной системы налогообложения, подлежащего зачислению в консолидированный бюджет области по территории соответствующего муниципального образования</w:t>
            </w:r>
          </w:p>
        </w:tc>
        <w:tc>
          <w:tcPr>
            <w:tcW w:w="2251"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Федеральная налоговая служба (форма отчетности N 5-УСН)</w:t>
            </w:r>
          </w:p>
        </w:tc>
      </w:tr>
      <w:tr w:rsidR="00FE0A31">
        <w:tc>
          <w:tcPr>
            <w:tcW w:w="2566"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Налог на имущество организаций</w:t>
            </w:r>
          </w:p>
        </w:tc>
        <w:tc>
          <w:tcPr>
            <w:tcW w:w="4252" w:type="dxa"/>
            <w:tcBorders>
              <w:top w:val="single" w:sz="4" w:space="0" w:color="auto"/>
              <w:left w:val="single" w:sz="4" w:space="0" w:color="auto"/>
              <w:bottom w:val="single" w:sz="4" w:space="0" w:color="auto"/>
              <w:right w:val="single" w:sz="4" w:space="0" w:color="auto"/>
            </w:tcBorders>
            <w:vAlign w:val="bottom"/>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Сумма налога на имущество организаций, подлежащего зачислению в консолидированный бюджет области по территории соответствующего муниципального образования</w:t>
            </w:r>
          </w:p>
        </w:tc>
        <w:tc>
          <w:tcPr>
            <w:tcW w:w="2251" w:type="dxa"/>
            <w:tcBorders>
              <w:top w:val="single" w:sz="4" w:space="0" w:color="auto"/>
              <w:left w:val="single" w:sz="4" w:space="0" w:color="auto"/>
              <w:bottom w:val="single" w:sz="4" w:space="0" w:color="auto"/>
              <w:right w:val="single" w:sz="4" w:space="0" w:color="auto"/>
            </w:tcBorders>
          </w:tcPr>
          <w:p w:rsidR="00FE0A31" w:rsidRDefault="00FE0A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Федеральная налоговая служба (форма отчетности N 5-НИО)</w:t>
            </w:r>
          </w:p>
        </w:tc>
      </w:tr>
    </w:tbl>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Конкретный перечень налогов для расчета дотации на выравнивание бюджетной обеспеченности муниципальных образований определяется Правительством Кировской области ежегодно при составлении проекта бюджета на очередной финансовый год (на очередной финансовый год и плановый период).</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Налоговый потенциал для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рассчитывается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44"/>
          <w:sz w:val="28"/>
          <w:szCs w:val="28"/>
          <w:lang w:eastAsia="ru-RU"/>
        </w:rPr>
        <w:drawing>
          <wp:inline distT="0" distB="0" distL="0" distR="0">
            <wp:extent cx="3930650" cy="74358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30650" cy="743585"/>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НП</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налоговый потенциал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ПД</w:t>
      </w:r>
      <w:proofErr w:type="gramStart"/>
      <w:r>
        <w:rPr>
          <w:rFonts w:ascii="Times New Roman" w:hAnsi="Times New Roman" w:cs="Times New Roman"/>
          <w:sz w:val="28"/>
          <w:szCs w:val="28"/>
          <w:vertAlign w:val="subscript"/>
        </w:rPr>
        <w:t>j</w:t>
      </w:r>
      <w:proofErr w:type="spellEnd"/>
      <w:proofErr w:type="gramEnd"/>
      <w:r>
        <w:rPr>
          <w:rFonts w:ascii="Times New Roman" w:hAnsi="Times New Roman" w:cs="Times New Roman"/>
          <w:sz w:val="28"/>
          <w:szCs w:val="28"/>
        </w:rPr>
        <w:t xml:space="preserve"> - прогноз поступления доходов в консолидированный бюджет области по j-</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налогу;</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4"/>
          <w:sz w:val="28"/>
          <w:szCs w:val="28"/>
          <w:lang w:eastAsia="ru-RU"/>
        </w:rPr>
        <w:drawing>
          <wp:inline distT="0" distB="0" distL="0" distR="0">
            <wp:extent cx="334645" cy="361950"/>
            <wp:effectExtent l="0" t="0" r="825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4645" cy="36195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4"/>
          <w:sz w:val="28"/>
          <w:szCs w:val="28"/>
          <w:lang w:eastAsia="ru-RU"/>
        </w:rPr>
        <w:drawing>
          <wp:inline distT="0" distB="0" distL="0" distR="0">
            <wp:extent cx="464185" cy="361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185" cy="361950"/>
                    </a:xfrm>
                    <a:prstGeom prst="rect">
                      <a:avLst/>
                    </a:prstGeom>
                    <a:noFill/>
                    <a:ln>
                      <a:noFill/>
                    </a:ln>
                  </pic:spPr>
                </pic:pic>
              </a:graphicData>
            </a:graphic>
          </wp:inline>
        </w:drawing>
      </w:r>
      <w:r>
        <w:rPr>
          <w:rFonts w:ascii="Times New Roman" w:hAnsi="Times New Roman" w:cs="Times New Roman"/>
          <w:sz w:val="28"/>
          <w:szCs w:val="28"/>
        </w:rPr>
        <w:t xml:space="preserve"> - показатели, характеризующие налоговый потенциал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по j-</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налогу, подлежащему зачислению в </w:t>
      </w:r>
      <w:r>
        <w:rPr>
          <w:rFonts w:ascii="Times New Roman" w:hAnsi="Times New Roman" w:cs="Times New Roman"/>
          <w:sz w:val="28"/>
          <w:szCs w:val="28"/>
        </w:rPr>
        <w:lastRenderedPageBreak/>
        <w:t>консолидированный бюджет области по территории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за два года до текущего года (по налогу на доходы физических лиц - за два года до отчетного года);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4"/>
          <w:sz w:val="28"/>
          <w:szCs w:val="28"/>
          <w:lang w:eastAsia="ru-RU"/>
        </w:rPr>
        <w:drawing>
          <wp:inline distT="0" distB="0" distL="0" distR="0">
            <wp:extent cx="307340" cy="3619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7340" cy="36195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4"/>
          <w:sz w:val="28"/>
          <w:szCs w:val="28"/>
          <w:lang w:eastAsia="ru-RU"/>
        </w:rPr>
        <w:drawing>
          <wp:inline distT="0" distB="0" distL="0" distR="0">
            <wp:extent cx="429895" cy="361950"/>
            <wp:effectExtent l="0" t="0" r="825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rFonts w:ascii="Times New Roman" w:hAnsi="Times New Roman" w:cs="Times New Roman"/>
          <w:sz w:val="28"/>
          <w:szCs w:val="28"/>
        </w:rPr>
        <w:t xml:space="preserve"> - показатели, характеризующие налоговый потенциал по j-</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налогу, подлежащему зачислению в консолидированный бюджет области, за два года до текущего года (по налогу на доходы физических лиц - за два года до отчетного года);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k - норматив отчислений по j-</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налогу в бюджет муниципального образования в прогнозном году;</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количество налогов.</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Порядок расчета индекса бюджетных расходов</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Индекс бюджетных расходов (далее - ИБР) муниципального образования рассчитывается с использованием нормативных расходов бюджетов муниципальных образований по направлениям расходов (видам муниципальных услуг), включенным в перечень муниципальных услуг для расчета ИБР.</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репрезентативный перечень муниципальных услуг для расчета ИБР включаются наиболее значимые по своему объему расходы из перечня отнесенных действующим законодательством к вопросам местного значения.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Репрезентативный перечень муниципальных услуг для расчета ИБР муниципальных образований соответствующего типа определяется ежегодно при составлении проекта бюджета на очередной финансовый год (на очередной финансовый год и плановый период).</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ИБР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поселения показывает насколько больше или меньше бюджетных средств на душу населения по сравнению со средним для всех поселений муниципального района уровнем необходимо затратить в данном поселении для реализации закрепленных за ним полномочий по предоставлению муниципальных услуг.</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ИБР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 (муниципального округа, городского округа) показывает насколько больше или меньше бюджетных средств на душу населения по сравнению со средним для всех муниципальных районов (муниципальных округов, городских округов) области уровнем необходимо затратить в данном муниципальном районе (муниципальном округе,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городском округе) для реализации закрепленных за ним полномочий по предоставлению муниципальных услуг.</w:t>
      </w:r>
      <w:proofErr w:type="gramEnd"/>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 ИБР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по всем видам муниципальных услуг, включенных в репрезентативный перечень, определяется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78"/>
          <w:sz w:val="28"/>
          <w:szCs w:val="28"/>
          <w:lang w:eastAsia="ru-RU"/>
        </w:rPr>
        <w:drawing>
          <wp:inline distT="0" distB="0" distL="0" distR="0">
            <wp:extent cx="1869440" cy="11734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69440" cy="1173480"/>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ИБР</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НР</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объем нормативных расходов по видам муниципальных услуг, включенных в репрезентативный перечень, по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численность населения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поселений в составе муниципального района или муниципальных образований определенного типа в составе области.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Объем нормативных расходов в i-м муниципальном образовании определяется по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35"/>
          <w:sz w:val="28"/>
          <w:szCs w:val="28"/>
          <w:lang w:eastAsia="ru-RU"/>
        </w:rPr>
        <w:drawing>
          <wp:inline distT="0" distB="0" distL="0" distR="0">
            <wp:extent cx="2545080" cy="628015"/>
            <wp:effectExtent l="0" t="0" r="762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5080" cy="628015"/>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НР</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объем нормативных расходов в i-м муниципальном образовании;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N</w:t>
      </w:r>
      <w:r>
        <w:rPr>
          <w:rFonts w:ascii="Times New Roman" w:hAnsi="Times New Roman" w:cs="Times New Roman"/>
          <w:sz w:val="28"/>
          <w:szCs w:val="28"/>
          <w:vertAlign w:val="subscript"/>
        </w:rPr>
        <w:t>j</w:t>
      </w:r>
      <w:proofErr w:type="spellEnd"/>
      <w:r>
        <w:rPr>
          <w:rFonts w:ascii="Times New Roman" w:hAnsi="Times New Roman" w:cs="Times New Roman"/>
          <w:sz w:val="28"/>
          <w:szCs w:val="28"/>
        </w:rPr>
        <w:t xml:space="preserve"> - нормативные расходы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вида;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280035" cy="320675"/>
            <wp:effectExtent l="0" t="0" r="571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0035" cy="320675"/>
                    </a:xfrm>
                    <a:prstGeom prst="rect">
                      <a:avLst/>
                    </a:prstGeom>
                    <a:noFill/>
                    <a:ln>
                      <a:noFill/>
                    </a:ln>
                  </pic:spPr>
                </pic:pic>
              </a:graphicData>
            </a:graphic>
          </wp:inline>
        </w:drawing>
      </w:r>
      <w:r>
        <w:rPr>
          <w:rFonts w:ascii="Times New Roman" w:hAnsi="Times New Roman" w:cs="Times New Roman"/>
          <w:sz w:val="28"/>
          <w:szCs w:val="28"/>
        </w:rPr>
        <w:t xml:space="preserve"> - коэффициенты, учитывающие особые условия предоставления услуги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вида;</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266065" cy="320675"/>
            <wp:effectExtent l="0" t="0" r="635"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065" cy="320675"/>
                    </a:xfrm>
                    <a:prstGeom prst="rect">
                      <a:avLst/>
                    </a:prstGeom>
                    <a:noFill/>
                    <a:ln>
                      <a:noFill/>
                    </a:ln>
                  </pic:spPr>
                </pic:pic>
              </a:graphicData>
            </a:graphic>
          </wp:inline>
        </w:drawing>
      </w:r>
      <w:r>
        <w:rPr>
          <w:rFonts w:ascii="Times New Roman" w:hAnsi="Times New Roman" w:cs="Times New Roman"/>
          <w:sz w:val="28"/>
          <w:szCs w:val="28"/>
        </w:rPr>
        <w:t xml:space="preserve"> - количественный показатель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вида услуги;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m - число возможных коэффициентов, учитывающих особые условия предоставления услуги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вида, устанавливаемых Правительством Кировской области;</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количество j-х видов услуг по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муниципальному образованию.</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 Нормативные расходы рассчитываются с использованием финансовых нормативов и коэффициентов, учитывающих особые условия предоставления услуги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вида, устанавливаемых Правительством Кировской области (органами местного самоуправления муниципальных районов (муниципальных округов, городских округов)).</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В целях сокращения разрыва в бюджетной обеспеченности между муниципальными образованиями при расчете дотаций используется нормированное значение ИБР, определяемое по следующей формуле:</w:t>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72"/>
          <w:sz w:val="28"/>
          <w:szCs w:val="28"/>
          <w:lang w:eastAsia="ru-RU"/>
        </w:rPr>
        <w:drawing>
          <wp:inline distT="0" distB="0" distL="0" distR="0">
            <wp:extent cx="3719195" cy="11055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9195" cy="1105535"/>
                    </a:xfrm>
                    <a:prstGeom prst="rect">
                      <a:avLst/>
                    </a:prstGeom>
                    <a:noFill/>
                    <a:ln>
                      <a:noFill/>
                    </a:ln>
                  </pic:spPr>
                </pic:pic>
              </a:graphicData>
            </a:graphic>
          </wp:inline>
        </w:drawing>
      </w:r>
    </w:p>
    <w:p w:rsidR="00FE0A31" w:rsidRDefault="00FE0A31" w:rsidP="00FE0A31">
      <w:pPr>
        <w:autoSpaceDE w:val="0"/>
        <w:autoSpaceDN w:val="0"/>
        <w:adjustRightInd w:val="0"/>
        <w:spacing w:after="0" w:line="240" w:lineRule="auto"/>
        <w:jc w:val="both"/>
        <w:rPr>
          <w:rFonts w:ascii="Times New Roman" w:hAnsi="Times New Roman" w:cs="Times New Roman"/>
          <w:sz w:val="28"/>
          <w:szCs w:val="28"/>
        </w:rPr>
      </w:pPr>
    </w:p>
    <w:p w:rsidR="00FE0A31" w:rsidRDefault="00FE0A31" w:rsidP="00FE0A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noProof/>
          <w:position w:val="-11"/>
          <w:sz w:val="28"/>
          <w:szCs w:val="28"/>
          <w:lang w:eastAsia="ru-RU"/>
        </w:rPr>
        <w:drawing>
          <wp:inline distT="0" distB="0" distL="0" distR="0">
            <wp:extent cx="600710" cy="320675"/>
            <wp:effectExtent l="0" t="0" r="889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710" cy="320675"/>
                    </a:xfrm>
                    <a:prstGeom prst="rect">
                      <a:avLst/>
                    </a:prstGeom>
                    <a:noFill/>
                    <a:ln>
                      <a:noFill/>
                    </a:ln>
                  </pic:spPr>
                </pic:pic>
              </a:graphicData>
            </a:graphic>
          </wp:inline>
        </w:drawing>
      </w:r>
      <w:r>
        <w:rPr>
          <w:rFonts w:ascii="Times New Roman" w:hAnsi="Times New Roman" w:cs="Times New Roman"/>
          <w:sz w:val="28"/>
          <w:szCs w:val="28"/>
        </w:rPr>
        <w:t xml:space="preserve"> - нормированный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ИБР</w:t>
      </w:r>
      <w:r>
        <w:rPr>
          <w:rFonts w:ascii="Times New Roman" w:hAnsi="Times New Roman" w:cs="Times New Roman"/>
          <w:sz w:val="28"/>
          <w:szCs w:val="28"/>
          <w:vertAlign w:val="superscript"/>
        </w:rPr>
        <w:t>пред</w:t>
      </w:r>
      <w:proofErr w:type="spellEnd"/>
      <w:r>
        <w:rPr>
          <w:rFonts w:ascii="Times New Roman" w:hAnsi="Times New Roman" w:cs="Times New Roman"/>
          <w:sz w:val="28"/>
          <w:szCs w:val="28"/>
        </w:rPr>
        <w:t xml:space="preserve"> - максимально допустимое значение индекса бюджетных расходов муниципального образования, определяемое Правительством Кировской области (органом местного самоуправления муниципальных районов (муниципальных округов, городских округов));</w:t>
      </w:r>
    </w:p>
    <w:p w:rsidR="00FE0A31" w:rsidRDefault="00FE0A31" w:rsidP="00FE0A31">
      <w:pPr>
        <w:autoSpaceDE w:val="0"/>
        <w:autoSpaceDN w:val="0"/>
        <w:adjustRightInd w:val="0"/>
        <w:spacing w:before="280" w:after="0" w:line="240" w:lineRule="auto"/>
        <w:ind w:firstLine="540"/>
        <w:jc w:val="both"/>
        <w:rPr>
          <w:rFonts w:ascii="Times New Roman" w:hAnsi="Times New Roman" w:cs="Times New Roman"/>
          <w:sz w:val="28"/>
          <w:szCs w:val="28"/>
        </w:rPr>
      </w:pPr>
      <w:bookmarkStart w:id="0" w:name="_GoBack"/>
      <w:bookmarkEnd w:id="0"/>
      <w:proofErr w:type="spellStart"/>
      <w:r>
        <w:rPr>
          <w:rFonts w:ascii="Times New Roman" w:hAnsi="Times New Roman" w:cs="Times New Roman"/>
          <w:sz w:val="28"/>
          <w:szCs w:val="28"/>
        </w:rPr>
        <w:t>ИБР</w:t>
      </w:r>
      <w:r>
        <w:rPr>
          <w:rFonts w:ascii="Times New Roman" w:hAnsi="Times New Roman" w:cs="Times New Roman"/>
          <w:sz w:val="28"/>
          <w:szCs w:val="28"/>
          <w:vertAlign w:val="subscript"/>
        </w:rPr>
        <w:t>i</w:t>
      </w:r>
      <w:proofErr w:type="spellEnd"/>
      <w:r>
        <w:rPr>
          <w:rFonts w:ascii="Times New Roman" w:hAnsi="Times New Roman" w:cs="Times New Roman"/>
          <w:sz w:val="28"/>
          <w:szCs w:val="28"/>
        </w:rPr>
        <w:t xml:space="preserve"> - индекс бюджетных расходов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w:t>
      </w: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7369E3" w:rsidRDefault="007369E3" w:rsidP="00D2687C">
      <w:pPr>
        <w:pStyle w:val="a3"/>
        <w:tabs>
          <w:tab w:val="left" w:pos="1134"/>
        </w:tabs>
        <w:spacing w:after="0" w:line="320" w:lineRule="exact"/>
        <w:ind w:left="0" w:firstLine="709"/>
        <w:jc w:val="both"/>
        <w:rPr>
          <w:rFonts w:ascii="Times New Roman" w:hAnsi="Times New Roman"/>
          <w:sz w:val="28"/>
          <w:szCs w:val="28"/>
        </w:rPr>
      </w:pPr>
    </w:p>
    <w:p w:rsidR="00886740" w:rsidRDefault="00886740"/>
    <w:sectPr w:rsidR="008867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EF9"/>
    <w:rsid w:val="007369E3"/>
    <w:rsid w:val="00886740"/>
    <w:rsid w:val="00BA7EF9"/>
    <w:rsid w:val="00D2687C"/>
    <w:rsid w:val="00FE0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87C"/>
    <w:pPr>
      <w:ind w:left="720"/>
      <w:contextualSpacing/>
    </w:pPr>
    <w:rPr>
      <w:rFonts w:ascii="Calibri" w:eastAsia="Calibri" w:hAnsi="Calibri" w:cs="Times New Roman"/>
    </w:rPr>
  </w:style>
  <w:style w:type="paragraph" w:styleId="a4">
    <w:name w:val="Balloon Text"/>
    <w:basedOn w:val="a"/>
    <w:link w:val="a5"/>
    <w:uiPriority w:val="99"/>
    <w:semiHidden/>
    <w:unhideWhenUsed/>
    <w:rsid w:val="00FE0A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0A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87C"/>
    <w:pPr>
      <w:ind w:left="720"/>
      <w:contextualSpacing/>
    </w:pPr>
    <w:rPr>
      <w:rFonts w:ascii="Calibri" w:eastAsia="Calibri" w:hAnsi="Calibri" w:cs="Times New Roman"/>
    </w:rPr>
  </w:style>
  <w:style w:type="paragraph" w:styleId="a4">
    <w:name w:val="Balloon Text"/>
    <w:basedOn w:val="a"/>
    <w:link w:val="a5"/>
    <w:uiPriority w:val="99"/>
    <w:semiHidden/>
    <w:unhideWhenUsed/>
    <w:rsid w:val="00FE0A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0A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89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wmf"/><Relationship Id="rId34" Type="http://schemas.openxmlformats.org/officeDocument/2006/relationships/image" Target="media/image29.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CE042-0B19-4282-9578-97C6F9FC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2880</Words>
  <Characters>16421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Артемьева Татьяна Ивановна</dc:creator>
  <cp:keywords/>
  <dc:description/>
  <cp:lastModifiedBy>Никулина Надежда Юрьевна</cp:lastModifiedBy>
  <cp:revision>3</cp:revision>
  <dcterms:created xsi:type="dcterms:W3CDTF">2021-10-20T12:12:00Z</dcterms:created>
  <dcterms:modified xsi:type="dcterms:W3CDTF">2021-10-20T14:24:00Z</dcterms:modified>
</cp:coreProperties>
</file>